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BodyText3"/>
        <w:jc w:val="both"/>
        <w:rPr/>
      </w:pPr>
      <w:r>
        <w:rPr>
          <w:rFonts w:cs="Calibri" w:ascii="Cambria" w:hAnsi="Cambria" w:asciiTheme="majorHAnsi" w:cstheme="minorHAnsi" w:hAnsiTheme="majorHAnsi"/>
          <w:b/>
          <w:sz w:val="24"/>
          <w:szCs w:val="24"/>
          <w:lang w:val="sr-CS"/>
        </w:rPr>
        <w:t>РЕПУБЛИКА СРБИЈА - ГРАДСКА УПРАВА</w:t>
      </w:r>
      <w:r>
        <w:rPr>
          <w:rFonts w:cs="Calibri" w:ascii="Cambria" w:hAnsi="Cambria" w:asciiTheme="majorHAnsi" w:cstheme="minorHAnsi" w:hAnsiTheme="majorHAnsi"/>
          <w:b/>
          <w:sz w:val="24"/>
          <w:szCs w:val="24"/>
        </w:rPr>
        <w:t xml:space="preserve"> ГРАДА</w:t>
      </w:r>
      <w:r>
        <w:rPr>
          <w:rFonts w:cs="Calibri" w:ascii="Cambria" w:hAnsi="Cambria" w:asciiTheme="majorHAnsi" w:cstheme="minorHAnsi" w:hAnsiTheme="majorHAnsi"/>
          <w:b/>
          <w:sz w:val="24"/>
          <w:szCs w:val="24"/>
          <w:lang w:val="sr-CS"/>
        </w:rPr>
        <w:t xml:space="preserve"> ЗАЈЕЧАРА, </w:t>
      </w:r>
      <w:r>
        <w:rPr>
          <w:rFonts w:cs="Calibri" w:ascii="Cambria" w:hAnsi="Cambria" w:asciiTheme="majorHAnsi" w:cstheme="minorHAnsi" w:hAnsiTheme="majorHAnsi"/>
          <w:sz w:val="24"/>
          <w:szCs w:val="24"/>
          <w:lang w:val="sr-CS"/>
        </w:rPr>
        <w:t xml:space="preserve">Ул. Трг </w:t>
      </w:r>
      <w:r>
        <w:rPr>
          <w:rFonts w:cs="Calibri" w:ascii="Cambria" w:hAnsi="Cambria" w:asciiTheme="majorHAnsi" w:cstheme="minorHAnsi" w:hAnsiTheme="majorHAnsi"/>
          <w:sz w:val="24"/>
          <w:szCs w:val="24"/>
          <w:lang w:val="sr-RS"/>
        </w:rPr>
        <w:t>о</w:t>
      </w:r>
      <w:r>
        <w:rPr>
          <w:rFonts w:cs="Calibri" w:ascii="Cambria" w:hAnsi="Cambria" w:asciiTheme="majorHAnsi" w:cstheme="minorHAnsi" w:hAnsiTheme="majorHAnsi"/>
          <w:sz w:val="24"/>
          <w:szCs w:val="24"/>
          <w:lang w:val="sr-CS"/>
        </w:rPr>
        <w:t xml:space="preserve">слобођења бр. 1, 19 000 Зајечар, ПИБ: 101757838, коју заступа начелник Градске управе града Зајечара </w:t>
      </w:r>
      <w:r>
        <w:rPr>
          <w:rFonts w:cs="Calibri" w:ascii="Cambria" w:hAnsi="Cambria" w:asciiTheme="majorHAnsi" w:cstheme="minorHAnsi" w:hAnsiTheme="majorHAnsi"/>
          <w:sz w:val="24"/>
          <w:szCs w:val="24"/>
          <w:lang w:val="sr-RS"/>
        </w:rPr>
        <w:t>Слободан Виденовић</w:t>
      </w:r>
      <w:r>
        <w:rPr>
          <w:rFonts w:cs="Calibri" w:ascii="Cambria" w:hAnsi="Cambria" w:asciiTheme="majorHAnsi" w:cstheme="minorHAnsi" w:hAnsiTheme="majorHAnsi"/>
          <w:sz w:val="24"/>
          <w:szCs w:val="24"/>
          <w:lang w:val="sr-CS"/>
        </w:rPr>
        <w:t xml:space="preserve"> (у даљем тексту: </w:t>
      </w: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Корисник)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16"/>
          <w:szCs w:val="16"/>
          <w:lang w:val="sr-CS"/>
        </w:rPr>
      </w:pPr>
      <w:r>
        <w:rPr>
          <w:rFonts w:cs="Arial" w:ascii="Cambria" w:hAnsi="Cambria"/>
          <w:sz w:val="16"/>
          <w:szCs w:val="16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_________________________________ ул. ________________________, ПИБ: _________________, кога заступа директор ____________________ (у даљем тексту: </w:t>
      </w: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Извршилац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).</w:t>
      </w:r>
    </w:p>
    <w:p>
      <w:pPr>
        <w:pStyle w:val="Normal"/>
        <w:ind w:left="720" w:hanging="0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ind w:left="720" w:hanging="0"/>
        <w:jc w:val="both"/>
        <w:rPr>
          <w:rFonts w:ascii="Cambria" w:hAnsi="Cambria" w:cs="Arial" w:asciiTheme="majorHAnsi" w:hAnsiTheme="majorHAnsi"/>
          <w:b/>
          <w:b/>
          <w:sz w:val="16"/>
          <w:szCs w:val="16"/>
          <w:lang w:val="sr-CS"/>
        </w:rPr>
      </w:pPr>
      <w:r>
        <w:rPr>
          <w:rFonts w:cs="Arial" w:ascii="Cambria" w:hAnsi="Cambria"/>
          <w:b/>
          <w:sz w:val="16"/>
          <w:szCs w:val="16"/>
          <w:lang w:val="sr-CS"/>
        </w:rPr>
      </w:r>
    </w:p>
    <w:p>
      <w:pPr>
        <w:pStyle w:val="Heading2"/>
        <w:jc w:val="left"/>
        <w:rPr/>
      </w:pPr>
      <w:r>
        <w:rPr>
          <w:rFonts w:ascii="Cambria" w:hAnsi="Cambria" w:asciiTheme="majorHAnsi" w:hAnsiTheme="majorHAnsi"/>
          <w:b w:val="false"/>
          <w:color w:val="auto"/>
          <w:sz w:val="22"/>
          <w:szCs w:val="22"/>
          <w:lang w:val="sr-CS"/>
        </w:rPr>
        <w:t>Закључују :</w:t>
      </w:r>
    </w:p>
    <w:p>
      <w:pPr>
        <w:pStyle w:val="Normal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.</w:t>
      </w:r>
    </w:p>
    <w:p>
      <w:pPr>
        <w:pStyle w:val="Normal"/>
        <w:tabs>
          <w:tab w:val="left" w:pos="720" w:leader="none"/>
        </w:tabs>
        <w:rPr>
          <w:rFonts w:ascii="Cambria" w:hAnsi="Cambria" w:cs="Arial" w:asciiTheme="majorHAnsi" w:hAnsiTheme="majorHAnsi"/>
          <w:b/>
          <w:b/>
          <w:bCs/>
          <w:sz w:val="22"/>
          <w:szCs w:val="22"/>
        </w:rPr>
      </w:pPr>
      <w:r>
        <w:rPr>
          <w:rFonts w:cs="Arial" w:ascii="Cambria" w:hAnsi="Cambria"/>
          <w:b/>
          <w:bCs/>
          <w:sz w:val="22"/>
          <w:szCs w:val="22"/>
        </w:rPr>
      </w:r>
    </w:p>
    <w:p>
      <w:pPr>
        <w:pStyle w:val="Normal"/>
        <w:tabs>
          <w:tab w:val="left" w:pos="720" w:leader="none"/>
        </w:tabs>
        <w:rPr>
          <w:rFonts w:ascii="Cambria" w:hAnsi="Cambria" w:cs="Arial" w:asciiTheme="majorHAnsi" w:hAnsiTheme="majorHAnsi"/>
          <w:b/>
          <w:b/>
          <w:bCs/>
          <w:sz w:val="2"/>
          <w:szCs w:val="2"/>
          <w:lang w:val="sr-CS"/>
        </w:rPr>
      </w:pPr>
      <w:r>
        <w:rPr>
          <w:rFonts w:cs="Arial" w:ascii="Cambria" w:hAnsi="Cambria"/>
          <w:b/>
          <w:bCs/>
          <w:sz w:val="2"/>
          <w:szCs w:val="2"/>
          <w:lang w:val="sr-CS"/>
        </w:rPr>
      </w:r>
    </w:p>
    <w:p>
      <w:pPr>
        <w:pStyle w:val="Normal"/>
        <w:tabs>
          <w:tab w:val="left" w:pos="720" w:leader="none"/>
        </w:tabs>
        <w:rPr>
          <w:rFonts w:ascii="Cambria" w:hAnsi="Cambria" w:cs="Arial" w:asciiTheme="majorHAnsi" w:hAnsiTheme="majorHAnsi"/>
          <w:b/>
          <w:b/>
          <w:bCs/>
          <w:sz w:val="22"/>
          <w:szCs w:val="22"/>
          <w:lang w:val="sr-CS"/>
        </w:rPr>
      </w:pPr>
      <w:r>
        <w:rPr>
          <w:rFonts w:cs="Arial" w:ascii="Cambria" w:hAnsi="Cambria"/>
          <w:b/>
          <w:bCs/>
          <w:sz w:val="22"/>
          <w:szCs w:val="22"/>
          <w:lang w:val="sr-CS"/>
        </w:rPr>
      </w:r>
    </w:p>
    <w:p>
      <w:pPr>
        <w:pStyle w:val="Heading8"/>
        <w:rPr/>
      </w:pPr>
      <w:r>
        <w:rPr>
          <w:rFonts w:ascii="Cambria" w:hAnsi="Cambria" w:asciiTheme="majorHAnsi" w:hAnsiTheme="majorHAnsi"/>
          <w:szCs w:val="24"/>
          <w:lang w:val="sr-CS"/>
        </w:rPr>
        <w:t>УГОВОР О ОДРЖАВАЊУ ИНФОРМАЦИОНОГ СИСТЕМА “ХЕРМЕС”</w:t>
      </w:r>
    </w:p>
    <w:p>
      <w:pPr>
        <w:pStyle w:val="Normal"/>
        <w:rPr>
          <w:rFonts w:ascii="Cambria" w:hAnsi="Cambria" w:asciiTheme="majorHAnsi" w:hAnsiTheme="majorHAnsi"/>
          <w:lang w:val="sr-CS"/>
        </w:rPr>
      </w:pPr>
      <w:r>
        <w:rPr>
          <w:rFonts w:asciiTheme="majorHAnsi" w:hAnsiTheme="majorHAnsi" w:ascii="Cambria" w:hAnsi="Cambria"/>
          <w:lang w:val="sr-CS"/>
        </w:rPr>
      </w:r>
    </w:p>
    <w:p>
      <w:pPr>
        <w:pStyle w:val="Normal"/>
        <w:spacing w:before="36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1.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Предмет овог уговора је интервентно, превентивно одржавање и надоградња информационог система система “ХЕРМЕС” (у даљем тексту: систем ХЕРМЕС) у вангарантном року.</w:t>
      </w:r>
    </w:p>
    <w:p>
      <w:pPr>
        <w:pStyle w:val="Normal"/>
        <w:spacing w:before="36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2.</w:t>
      </w:r>
    </w:p>
    <w:p>
      <w:pPr>
        <w:pStyle w:val="BodyText3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Основни циљ одржавања система ХЕРМЕС је омогућавање неометане продукције система ХЕРМЕС, и то следећих софтверских модула: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Матичне књиге рођених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Матичне књиге венчаних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Матичне књиге умрлих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Књиге држављана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</w:rPr>
        <w:t>Писарница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Органи решавања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Брзо скенирање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Кадровска евиденција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Јавно правобранилаштво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Инфокиоск</w:t>
      </w:r>
    </w:p>
    <w:p>
      <w:pPr>
        <w:pStyle w:val="BodyText3"/>
        <w:widowControl/>
        <w:numPr>
          <w:ilvl w:val="0"/>
          <w:numId w:val="1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</w:rPr>
        <w:t>W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eb портал</w:t>
      </w:r>
    </w:p>
    <w:p>
      <w:pPr>
        <w:pStyle w:val="BodyText3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Одржавање пословне апликације подразумева активности ИЗВРШИОЦА неопходне за неометану продукцију система ХЕРМЕС на серверу базе података, на радним станицама (рачунарима) Корисника где се користи систем ХЕРМЕС, у складу с препорукама и стандардима произвођача развојних алата и оперативних система.</w:t>
      </w:r>
    </w:p>
    <w:p>
      <w:pPr>
        <w:pStyle w:val="Normal"/>
        <w:spacing w:before="360" w:after="240"/>
        <w:jc w:val="center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/>
      </w:r>
    </w:p>
    <w:p>
      <w:pPr>
        <w:pStyle w:val="Normal"/>
        <w:spacing w:before="36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3.</w:t>
      </w:r>
    </w:p>
    <w:p>
      <w:pPr>
        <w:pStyle w:val="BodyText3"/>
        <w:rPr/>
      </w:pP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>Обавезе ИЗВРШИОЦА су:</w:t>
      </w:r>
    </w:p>
    <w:p>
      <w:pPr>
        <w:pStyle w:val="BodyText3"/>
        <w:rPr>
          <w:rFonts w:ascii="Cambria" w:hAnsi="Cambria" w:cs="Arial" w:asciiTheme="majorHAnsi" w:hAnsiTheme="majorHAnsi"/>
          <w:bCs/>
          <w:sz w:val="22"/>
          <w:szCs w:val="22"/>
          <w:lang w:val="sr-CS"/>
        </w:rPr>
      </w:pPr>
      <w:r>
        <w:rPr>
          <w:rFonts w:cs="Arial" w:ascii="Cambria" w:hAnsi="Cambria"/>
          <w:bCs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Интервентно одржавање које укључује следеће: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Телефонска подршка</w:t>
      </w:r>
    </w:p>
    <w:p>
      <w:pPr>
        <w:pStyle w:val="Normal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ИЗВРШИЛАЦ се обавезује да пружи КОРИСНИКУ телефонску подршку (саветовање КОРИСНИКА), у трајању ИЗВРШИОЧЕВОГ радног времена.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КОРИСНИК ће телефонску подршку да користи искључиво у сврху кратког саветовања и важног обавештавања. 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lang w:val="sr-CS"/>
        </w:rPr>
        <w:t>Подршка се пружа 8 радних сати у току 5 радних дана подршке (тзв. 8x5 подршка).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Heading9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Он лине, wеб сите и е-маил подршка </w:t>
      </w:r>
    </w:p>
    <w:p>
      <w:pPr>
        <w:pStyle w:val="Normal"/>
        <w:rPr>
          <w:rFonts w:ascii="Cambria" w:hAnsi="Cambria" w:asciiTheme="majorHAnsi" w:hAnsiTheme="majorHAnsi"/>
          <w:lang w:val="sr-CS"/>
        </w:rPr>
      </w:pPr>
      <w:r>
        <w:rPr>
          <w:rFonts w:asciiTheme="majorHAnsi" w:hAnsiTheme="majorHAnsi" w:ascii="Cambria" w:hAnsi="Cambria"/>
          <w:lang w:val="sr-CS"/>
        </w:rPr>
      </w:r>
    </w:p>
    <w:p>
      <w:pPr>
        <w:pStyle w:val="Annotationtext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У случају када се појави технички проблем који се може решавати даљинским приступом, разменом докумената и информација у електронском формату, ИЗВРШИЛАЦ се обавезује да пружи КОРИСНИКУ подршку он лине приступом, путем wеб сајта и е-маила. ИЗВРШИЛАЦ је дужан КОРИСНИКУ одговорити на е-маил у року од 3 сата, док ће евентуална обрада истог трајати сразмерно времену </w:t>
      </w:r>
      <w:r>
        <w:rPr>
          <w:rFonts w:ascii="Cambria" w:hAnsi="Cambria" w:asciiTheme="majorHAnsi" w:hAnsiTheme="majorHAnsi"/>
          <w:sz w:val="22"/>
          <w:szCs w:val="22"/>
          <w:lang w:val="sr-CS"/>
        </w:rPr>
        <w:t>дефинисаном у табеларном прегледу максимално дозвољеног времена одзива за интервентно одржавање.</w:t>
      </w:r>
    </w:p>
    <w:p>
      <w:pPr>
        <w:pStyle w:val="Normal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„</w:t>
      </w:r>
      <w:r>
        <w:rPr>
          <w:rFonts w:cs="Arial" w:ascii="Cambria" w:hAnsi="Cambria" w:asciiTheme="majorHAnsi" w:hAnsiTheme="majorHAnsi"/>
          <w:b/>
          <w:sz w:val="22"/>
          <w:szCs w:val="22"/>
        </w:rPr>
        <w:t>On site</w:t>
      </w: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“ подршка (подршка на локацији)</w:t>
      </w:r>
    </w:p>
    <w:p>
      <w:pPr>
        <w:pStyle w:val="Normal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У случају када КОРИСНИК упути захтев за подршком на својој локацији, ИЗВРШИЛАЦ се обавезује: 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widowControl/>
        <w:numPr>
          <w:ilvl w:val="0"/>
          <w:numId w:val="2"/>
        </w:numPr>
        <w:suppressAutoHyphens w:val="false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Да одговори на захтев у складу са временима датим табеларно</w:t>
      </w:r>
    </w:p>
    <w:p>
      <w:pPr>
        <w:pStyle w:val="Normal"/>
        <w:widowControl/>
        <w:numPr>
          <w:ilvl w:val="0"/>
          <w:numId w:val="2"/>
        </w:numPr>
        <w:suppressAutoHyphens w:val="false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Да отклони пријављени квар у року датом табеларно</w:t>
      </w:r>
    </w:p>
    <w:p>
      <w:pPr>
        <w:pStyle w:val="Normal"/>
        <w:jc w:val="both"/>
        <w:rPr>
          <w:rFonts w:ascii="Cambria" w:hAnsi="Cambria" w:cs="Arial" w:asciiTheme="majorHAnsi" w:hAnsiTheme="majorHAnsi"/>
          <w:lang w:val="sr-CS"/>
        </w:rPr>
      </w:pPr>
      <w:r>
        <w:rPr>
          <w:rFonts w:cs="Arial" w:ascii="Cambria" w:hAnsi="Cambria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lang w:val="sr-CS"/>
        </w:rPr>
        <w:t>Он сите подршка се односи на захтеве које није могуће решити даљинским приступом или када даљински приступ има прекид у раду. Подршка се односи на највише један (1) захтев у току године. Сваки додатни долазак ће бити предмет посебног Уговора.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widowControl/>
        <w:suppressAutoHyphens w:val="false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  <w:r>
        <w:br w:type="page"/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Максимално дозвољено време одзива за интервентно одржавање: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tbl>
      <w:tblPr>
        <w:tblW w:w="8844" w:type="dxa"/>
        <w:jc w:val="left"/>
        <w:tblInd w:w="113" w:type="dxa"/>
        <w:tblCellMar>
          <w:top w:w="57" w:type="dxa"/>
          <w:left w:w="85" w:type="dxa"/>
          <w:bottom w:w="57" w:type="dxa"/>
          <w:right w:w="85" w:type="dxa"/>
        </w:tblCellMar>
        <w:tblLook w:firstRow="0" w:noVBand="0" w:lastRow="0" w:firstColumn="0" w:lastColumn="0" w:noHBand="0" w:val="0000"/>
      </w:tblPr>
      <w:tblGrid>
        <w:gridCol w:w="995"/>
        <w:gridCol w:w="3148"/>
        <w:gridCol w:w="1217"/>
        <w:gridCol w:w="1090"/>
        <w:gridCol w:w="1170"/>
        <w:gridCol w:w="1223"/>
      </w:tblGrid>
      <w:tr>
        <w:trPr>
          <w:tblHeader w:val="true"/>
          <w:trHeight w:val="757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6E6E6" w:val="clear"/>
            <w:vAlign w:val="center"/>
          </w:tcPr>
          <w:p>
            <w:pPr>
              <w:pStyle w:val="Tekst"/>
              <w:spacing w:before="0" w:after="0"/>
              <w:jc w:val="center"/>
              <w:rPr/>
            </w:pPr>
            <w:r>
              <w:rPr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t xml:space="preserve">Приоритет </w:t>
            </w:r>
            <w:r>
              <w:rPr>
                <w:rStyle w:val="FootnoteAnchor"/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footnoteReference w:id="2"/>
            </w: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6E6E6" w:val="clear"/>
            <w:vAlign w:val="center"/>
          </w:tcPr>
          <w:p>
            <w:pPr>
              <w:pStyle w:val="Tekst"/>
              <w:spacing w:before="0" w:after="0"/>
              <w:jc w:val="center"/>
              <w:rPr/>
            </w:pPr>
            <w:r>
              <w:rPr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t xml:space="preserve">Дефиниција </w:t>
            </w:r>
            <w:r>
              <w:rPr>
                <w:rStyle w:val="FootnoteAnchor"/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footnoteReference w:id="3"/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6E6E6" w:val="clear"/>
            <w:vAlign w:val="center"/>
          </w:tcPr>
          <w:p>
            <w:pPr>
              <w:pStyle w:val="Tekst"/>
              <w:spacing w:before="0" w:after="0"/>
              <w:jc w:val="center"/>
              <w:rPr/>
            </w:pPr>
            <w:r>
              <w:rPr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t>Он-лине одзив (телефон, маил)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6E6E6" w:val="clear"/>
            <w:vAlign w:val="center"/>
          </w:tcPr>
          <w:p>
            <w:pPr>
              <w:pStyle w:val="Tekst"/>
              <w:spacing w:before="0" w:after="0"/>
              <w:jc w:val="center"/>
              <w:rPr/>
            </w:pPr>
            <w:r>
              <w:rPr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t>Он-сите одзив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6E6E6" w:val="clear"/>
            <w:vAlign w:val="center"/>
          </w:tcPr>
          <w:p>
            <w:pPr>
              <w:pStyle w:val="Tekst"/>
              <w:spacing w:before="0" w:after="0"/>
              <w:jc w:val="center"/>
              <w:rPr/>
            </w:pPr>
            <w:r>
              <w:rPr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t>Време санације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6E6E6" w:val="clear"/>
            <w:vAlign w:val="center"/>
          </w:tcPr>
          <w:p>
            <w:pPr>
              <w:pStyle w:val="Tekst"/>
              <w:spacing w:before="0" w:after="0"/>
              <w:jc w:val="center"/>
              <w:rPr/>
            </w:pPr>
            <w:r>
              <w:rPr>
                <w:rFonts w:cs="Arial" w:ascii="Cambria" w:hAnsi="Cambria" w:asciiTheme="majorHAnsi" w:hAnsiTheme="majorHAnsi"/>
                <w:b/>
                <w:color w:val="auto"/>
                <w:sz w:val="20"/>
                <w:szCs w:val="22"/>
                <w:lang w:val="sr-CS"/>
              </w:rPr>
              <w:t>Време решавања</w:t>
            </w:r>
          </w:p>
        </w:tc>
      </w:tr>
      <w:tr>
        <w:trPr>
          <w:trHeight w:val="990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1</w:t>
            </w: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Софтвер или његов значајан део је ван функције, што онемогућава нормално пословање Корисника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3 сата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24 сата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24 сата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7 дана</w:t>
            </w:r>
          </w:p>
        </w:tc>
      </w:tr>
      <w:tr>
        <w:trPr>
          <w:trHeight w:val="661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2</w:t>
            </w: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Оперативне карактеристике Софтвера су такве да део радних активности није функционалан или Софтвер не ради са пуним капацитетом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8 сати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48 сата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36 сати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15 дана</w:t>
            </w:r>
          </w:p>
        </w:tc>
      </w:tr>
      <w:tr>
        <w:trPr>
          <w:trHeight w:val="848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3</w:t>
            </w: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Софтвер има грешку са малим утицајем на радне активности Корисника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24 сата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72 сата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10 дана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Cambria" w:hAnsi="Cambria" w:asciiTheme="majorHAnsi" w:hAnsiTheme="majorHAnsi"/>
                <w:sz w:val="20"/>
                <w:szCs w:val="22"/>
                <w:lang w:val="sr-CS"/>
              </w:rPr>
              <w:t>30 дана</w:t>
            </w:r>
          </w:p>
        </w:tc>
      </w:tr>
    </w:tbl>
    <w:p>
      <w:pPr>
        <w:pStyle w:val="Footnote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 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ИЗВРШИЛАЦ  врши верификацију приоритета</w:t>
      </w:r>
    </w:p>
    <w:p>
      <w:pPr>
        <w:pStyle w:val="Normal"/>
        <w:jc w:val="both"/>
        <w:rPr/>
      </w:pPr>
      <w:r>
        <w:rPr>
          <w:rStyle w:val="FootnoteCharacters"/>
          <w:rFonts w:cs="Arial" w:ascii="Cambria" w:hAnsi="Cambria" w:asciiTheme="majorHAnsi" w:hAnsiTheme="majorHAnsi"/>
          <w:sz w:val="22"/>
          <w:szCs w:val="22"/>
          <w:lang w:val="sr-CS"/>
        </w:rPr>
        <w:t>2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 Ако се не санира у предвиђеном року, ниво приоритета се аутоматски подиже за један</w:t>
      </w:r>
    </w:p>
    <w:p>
      <w:pPr>
        <w:pStyle w:val="Normal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b/>
          <w:b/>
          <w:sz w:val="22"/>
          <w:szCs w:val="22"/>
          <w:lang w:val="sr-CS"/>
        </w:rPr>
      </w:pPr>
      <w:r>
        <w:rPr>
          <w:rFonts w:cs="Arial" w:ascii="Cambria" w:hAnsi="Cambria"/>
          <w:b/>
          <w:sz w:val="22"/>
          <w:szCs w:val="22"/>
          <w:lang w:val="sr-CS"/>
        </w:rPr>
      </w:r>
    </w:p>
    <w:p>
      <w:pPr>
        <w:pStyle w:val="Normal"/>
        <w:ind w:left="360" w:hanging="360"/>
        <w:jc w:val="both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Превентивно одржавање</w:t>
      </w:r>
    </w:p>
    <w:p>
      <w:pPr>
        <w:pStyle w:val="Annotationtext"/>
        <w:jc w:val="both"/>
        <w:rPr/>
      </w:pPr>
      <w:r>
        <w:rPr>
          <w:rFonts w:cs="Arial" w:ascii="Cambria" w:hAnsi="Cambria" w:asciiTheme="majorHAnsi" w:hAnsiTheme="majorHAnsi"/>
          <w:color w:val="000000"/>
          <w:sz w:val="22"/>
          <w:szCs w:val="22"/>
          <w:lang w:val="sr-CS"/>
        </w:rPr>
        <w:t xml:space="preserve">Подразумева обавезу ИЗВРШИОЦА да врши анализу стања рада 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Софтверског пакета </w:t>
      </w:r>
      <w:r>
        <w:rPr>
          <w:rFonts w:cs="Arial" w:ascii="Cambria" w:hAnsi="Cambria" w:asciiTheme="majorHAnsi" w:hAnsiTheme="majorHAnsi"/>
          <w:color w:val="000000"/>
          <w:sz w:val="22"/>
          <w:szCs w:val="22"/>
          <w:lang w:val="sr-CS"/>
        </w:rPr>
        <w:t xml:space="preserve">и предузима мере за одржавање квалитета 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Софтверског пакета</w:t>
      </w:r>
      <w:r>
        <w:rPr>
          <w:rFonts w:cs="Arial" w:ascii="Cambria" w:hAnsi="Cambria" w:asciiTheme="majorHAnsi" w:hAnsiTheme="majorHAnsi"/>
          <w:color w:val="000000"/>
          <w:sz w:val="22"/>
          <w:szCs w:val="22"/>
          <w:lang w:val="sr-CS"/>
        </w:rPr>
        <w:t>. Ова врста интервенције ће се извршавати највише два пута годишње</w:t>
      </w:r>
      <w:r>
        <w:rPr>
          <w:rFonts w:ascii="Cambria" w:hAnsi="Cambria" w:asciiTheme="majorHAnsi" w:hAnsiTheme="majorHAnsi"/>
          <w:sz w:val="22"/>
          <w:szCs w:val="22"/>
          <w:lang w:val="sr-CS"/>
        </w:rPr>
        <w:t>, уз обавезан документован налаз као резултат анализе.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 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Надградња и развој система ХЕРМЕС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ИЗВРШИЛАЦ се обавезује да пружи КОРИСНИКУ бесплатне апликативне надоградње које се односе на надоградње система ХЕРМЕС сервисним пакетима и побољшањима.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Апликативне надоградње су готови, истестирани производи настали искуственом применом и продукцијом апликативног система код различитих правних лица. 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Апликативне надоградње не мењају нити проширују дефинисане функционалности система.</w:t>
      </w:r>
    </w:p>
    <w:p>
      <w:pPr>
        <w:pStyle w:val="Annotationtext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Annotationtext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Подразумева обавезу усклађивања производа са законском регулативом у случају промене закона, уколико је у моменту примопредаје софтвер био усклађен са тим законским актима. Ова врста интервенције ће се извршавати на захтев КОРИСНИКА,</w:t>
      </w:r>
      <w:r>
        <w:rPr>
          <w:rFonts w:cs="Arial" w:ascii="Cambria" w:hAnsi="Cambria" w:asciiTheme="majorHAnsi" w:hAnsiTheme="majorHAnsi"/>
          <w:color w:val="000000"/>
          <w:sz w:val="22"/>
          <w:szCs w:val="22"/>
          <w:lang w:val="sr-CS"/>
        </w:rPr>
        <w:t xml:space="preserve"> 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 то у најкраћем року који ће обезбедити ефикасну и благовремену примену тог прописа у пракси.</w:t>
      </w:r>
    </w:p>
    <w:p>
      <w:pPr>
        <w:pStyle w:val="Normal"/>
        <w:spacing w:before="0" w:after="0"/>
        <w:contextualSpacing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spacing w:before="0" w:after="0"/>
        <w:contextualSpacing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Подразумева обавезу одржаваоца да врши мање доградње Извештаја (додавање нових колона</w:t>
      </w:r>
      <w:r>
        <w:rPr>
          <w:rFonts w:cs="Arial" w:ascii="Cambria" w:hAnsi="Cambria" w:asciiTheme="majorHAnsi" w:hAnsiTheme="majorHAnsi"/>
          <w:sz w:val="22"/>
          <w:szCs w:val="22"/>
          <w:lang w:val="en-US"/>
        </w:rPr>
        <w:t xml:space="preserve"> – </w:t>
      </w:r>
      <w:r>
        <w:rPr>
          <w:rFonts w:cs="Arial" w:ascii="Cambria" w:hAnsi="Cambria" w:asciiTheme="majorHAnsi" w:hAnsiTheme="majorHAnsi"/>
          <w:sz w:val="22"/>
          <w:szCs w:val="22"/>
        </w:rPr>
        <w:t>не више од две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, филтера за избор података – не више од два, измена заглавља), на захтев КОРИСНИКА.</w:t>
      </w:r>
    </w:p>
    <w:p>
      <w:pPr>
        <w:pStyle w:val="BodyText3"/>
        <w:rPr>
          <w:rFonts w:ascii="Cambria" w:hAnsi="Cambria" w:cs="Arial" w:asciiTheme="majorHAnsi" w:hAnsiTheme="majorHAnsi"/>
          <w:bCs/>
          <w:sz w:val="22"/>
          <w:szCs w:val="22"/>
          <w:lang w:val="sr-CS"/>
        </w:rPr>
      </w:pPr>
      <w:r>
        <w:rPr>
          <w:rFonts w:cs="Arial" w:ascii="Cambria" w:hAnsi="Cambria"/>
          <w:bCs/>
          <w:sz w:val="22"/>
          <w:szCs w:val="22"/>
          <w:lang w:val="sr-CS"/>
        </w:rPr>
      </w:r>
    </w:p>
    <w:p>
      <w:pPr>
        <w:pStyle w:val="BodyText3"/>
        <w:rPr/>
      </w:pP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>Обавезе КОРИСНИКА су:</w:t>
      </w:r>
    </w:p>
    <w:p>
      <w:pPr>
        <w:pStyle w:val="BodyText3"/>
        <w:widowControl/>
        <w:numPr>
          <w:ilvl w:val="0"/>
          <w:numId w:val="3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b/>
          <w:bCs/>
          <w:sz w:val="22"/>
          <w:szCs w:val="22"/>
          <w:lang w:val="sr-CS"/>
        </w:rPr>
        <w:t>Обезбеђивање техничких услова за ВПН конекцију</w:t>
      </w: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 xml:space="preserve"> према ВПН серверу извршиоца за потребе ОНЛИНЕ интервенција</w:t>
      </w:r>
    </w:p>
    <w:p>
      <w:pPr>
        <w:pStyle w:val="BodyText3"/>
        <w:rPr>
          <w:rFonts w:ascii="Cambria" w:hAnsi="Cambria" w:cs="Arial" w:asciiTheme="majorHAnsi" w:hAnsiTheme="majorHAnsi"/>
          <w:bCs/>
          <w:sz w:val="22"/>
          <w:szCs w:val="22"/>
          <w:lang w:val="sr-CS"/>
        </w:rPr>
      </w:pPr>
      <w:r>
        <w:rPr>
          <w:rFonts w:cs="Arial" w:ascii="Cambria" w:hAnsi="Cambria"/>
          <w:bCs/>
          <w:sz w:val="22"/>
          <w:szCs w:val="22"/>
          <w:lang w:val="sr-CS"/>
        </w:rPr>
      </w:r>
    </w:p>
    <w:p>
      <w:pPr>
        <w:pStyle w:val="BodyText3"/>
        <w:widowControl/>
        <w:numPr>
          <w:ilvl w:val="0"/>
          <w:numId w:val="3"/>
        </w:numPr>
        <w:suppressAutoHyphens w:val="false"/>
        <w:spacing w:before="0" w:after="0"/>
        <w:jc w:val="both"/>
        <w:rPr/>
      </w:pPr>
      <w:r>
        <w:rPr>
          <w:rFonts w:cs="Arial" w:ascii="Cambria" w:hAnsi="Cambria" w:asciiTheme="majorHAnsi" w:hAnsiTheme="majorHAnsi"/>
          <w:b/>
          <w:bCs/>
          <w:sz w:val="22"/>
          <w:szCs w:val="22"/>
          <w:lang w:val="sr-CS"/>
        </w:rPr>
        <w:t>Да именује одговорно лице и његовог заменика</w:t>
      </w: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 xml:space="preserve"> који ће комуницирати са извршиоцем како због потреба интервентног одржавања, тако и због потреба за унапређење и дораду сисема 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ХЕРМЕС </w:t>
      </w: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 xml:space="preserve">а све кроз </w:t>
      </w:r>
      <w:r>
        <w:rPr>
          <w:rFonts w:cs="Arial" w:ascii="Cambria" w:hAnsi="Cambria" w:asciiTheme="majorHAnsi" w:hAnsiTheme="majorHAnsi"/>
          <w:b/>
          <w:bCs/>
          <w:sz w:val="22"/>
          <w:szCs w:val="22"/>
          <w:lang w:val="sr-CS"/>
        </w:rPr>
        <w:t>24x7 Онлине систем подршке Извршиоца</w:t>
      </w: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 xml:space="preserve">  - </w:t>
      </w:r>
      <w:r>
        <w:rPr>
          <w:rFonts w:cs="Arial" w:ascii="Cambria" w:hAnsi="Cambria" w:asciiTheme="majorHAnsi" w:hAnsiTheme="majorHAnsi"/>
          <w:b/>
          <w:bCs/>
          <w:sz w:val="22"/>
          <w:szCs w:val="22"/>
          <w:lang w:val="sr-CS"/>
        </w:rPr>
        <w:t>Тикетинг</w:t>
      </w: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>. Извршилац се обавезује да обезбеди 6 сати обуке за коришћење тицкетинг система, као и достави корисничко упутство за највише 5 особа код корисника.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4.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Обе стране потписнице Уговора обавезује се на професионалност, одговорност и етичност.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ИЗВРШИЛАЦ се обавезује да изврши све обавезе из овог Уговора по принципу доброг стручњака, док ће КОРИСНИК све обавезе вршити у складу са одредбама овог Уговора.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5.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ИЗВРШИЛАЦ се обавезује да у року важности овог Уговора, КОРИСНИКА обавештава о реализацији обавеза одржавања.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TextBody"/>
        <w:rPr/>
      </w:pPr>
      <w:r>
        <w:rPr>
          <w:rFonts w:cs="Arial" w:ascii="Cambria" w:hAnsi="Cambria" w:asciiTheme="majorHAnsi" w:hAnsiTheme="majorHAnsi"/>
          <w:b/>
          <w:bCs/>
          <w:szCs w:val="22"/>
          <w:lang w:val="sr-CS"/>
        </w:rPr>
        <w:t>ИЗВРШИЛАЦ је дужан да КОРИСНИКУ да телефонски број и е-маил адресу који ће омогућити КОРИСНИКУ непрекидни контакт са ИЗВРШИОЦЕМ.</w:t>
      </w:r>
    </w:p>
    <w:p>
      <w:pPr>
        <w:pStyle w:val="Normal"/>
        <w:spacing w:before="36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6.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ИЗВРШИЛАЦ није дужан да отклања кварове хардверске/физичке природе, кварове на серверској, пасивној и активној ЛАН опреми, те на оперативном систему, уколико исто није уговорено другим уговором.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 </w:t>
      </w:r>
    </w:p>
    <w:p>
      <w:pPr>
        <w:pStyle w:val="Normal"/>
        <w:jc w:val="both"/>
        <w:rPr>
          <w:rFonts w:ascii="Cambria" w:hAnsi="Cambria" w:cs="Arial" w:asciiTheme="majorHAnsi" w:hAnsiTheme="majorHAnsi"/>
          <w:bCs/>
          <w:sz w:val="22"/>
          <w:szCs w:val="22"/>
          <w:lang w:val="sr-CS"/>
        </w:rPr>
      </w:pPr>
      <w:r>
        <w:rPr>
          <w:rFonts w:cs="Arial" w:ascii="Cambria" w:hAnsi="Cambria"/>
          <w:bCs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>Поред кварова из претходног става овог члана, предмет овог Уговора нису кварови настали као последица:</w:t>
      </w:r>
    </w:p>
    <w:p>
      <w:pPr>
        <w:pStyle w:val="Normal"/>
        <w:jc w:val="both"/>
        <w:rPr>
          <w:rFonts w:ascii="Cambria" w:hAnsi="Cambria" w:cs="Arial" w:asciiTheme="majorHAnsi" w:hAnsiTheme="majorHAnsi"/>
          <w:bCs/>
          <w:sz w:val="22"/>
          <w:szCs w:val="22"/>
          <w:lang w:val="sr-CS"/>
        </w:rPr>
      </w:pPr>
      <w:r>
        <w:rPr>
          <w:rFonts w:cs="Arial" w:ascii="Cambria" w:hAnsi="Cambria"/>
          <w:bCs/>
          <w:sz w:val="22"/>
          <w:szCs w:val="22"/>
          <w:lang w:val="sr-CS"/>
        </w:rPr>
      </w:r>
    </w:p>
    <w:p>
      <w:pPr>
        <w:pStyle w:val="Normal"/>
        <w:ind w:firstLine="72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- више силе,</w:t>
      </w:r>
    </w:p>
    <w:p>
      <w:pPr>
        <w:pStyle w:val="Normal"/>
        <w:ind w:firstLine="72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- немарности или необучености у руковању опремом, </w:t>
      </w:r>
    </w:p>
    <w:p>
      <w:pPr>
        <w:pStyle w:val="Normal"/>
        <w:ind w:firstLine="72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- грешкама у енергетској инсталацији или неодговарајућим климатским условима,</w:t>
      </w:r>
    </w:p>
    <w:p>
      <w:pPr>
        <w:pStyle w:val="Normal"/>
        <w:ind w:firstLine="72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- неуобичајених електричних пражњења и/или магнетских зрачења из околине.</w:t>
      </w:r>
    </w:p>
    <w:p>
      <w:pPr>
        <w:pStyle w:val="Normal"/>
        <w:ind w:firstLine="720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Све случајеве тако насталих неправилности споразумно ће утврдити овлашћени представници КОРИСНИКА и ИЗВРШИОЦА, у писаном облику, уз верификацију на стручном и руководећем нивоу.</w:t>
      </w:r>
    </w:p>
    <w:p>
      <w:pPr>
        <w:pStyle w:val="Normal"/>
        <w:spacing w:before="36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7.</w:t>
      </w:r>
    </w:p>
    <w:p>
      <w:pPr>
        <w:pStyle w:val="BodyText3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Радно време техничко функционалне подршке (хелп деск) ИЗВРШИОЦА је радним даном од 08 до 17 сати.</w:t>
      </w:r>
    </w:p>
    <w:p>
      <w:pPr>
        <w:pStyle w:val="Normal"/>
        <w:spacing w:before="36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8.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КОРИСНИК не сме без писане потврде ИЗВРШИОЦА да копира, модификује или адаптира систем ХЕРМЕС.</w:t>
      </w:r>
    </w:p>
    <w:p>
      <w:pPr>
        <w:pStyle w:val="Normal"/>
        <w:spacing w:before="240" w:after="12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9.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Цена месечног одржавања износи ___________________ (словима: ), на месечном нивоу без урачунатог ПДВ-а, који у потпуности пада на терет КОРИСНИКА. 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У цену месечног одржавања, независно од обавеза дефинисаних чланом 3. овог Уговора, урачунато је и 4 (четири) сата рада од стране ИЗВРШИОЦА на развоју, дорадама и изменама система ХЕРМЕС у току месеца.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За сваки даљи развој, дораду и измену система ХЕРМЕС, КОРИСНИК је дужан да испостави захтев, а ИЗВРШИЛАЦ је дужан да на захтев одговори и да опис решења, процену времена рада за извршење захтева и дефинише датум испоруке решења.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Уговорне стране су сагласне да ће све накнадне услуге надоградње система ХЕРМЕС које захтева НАРУЧИЛАЦ, а које прелазе број сати предвиђених у ставу 2. овог члана и које нису дефинисане чланом 3. овог Уговора, и као такве не представљају део иницијалне функционалне спецификације НАРУЧИОЦА, бити предмет посебног Уговора ових уговорних страна.  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spacing w:before="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10.</w:t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КОРИСНИК се обавезује да ће за одржавање платити цену месечног одржавања из члана 9. овог Уговора.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ИЗВРШИЛАЦ се обавезује да испостави фактуру у периоду од 1. до 3. дана у месецу, за текући месец.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КОРИСНИК се обавезује да ће извршити плаћање у року од </w:t>
      </w:r>
      <w:r>
        <w:rPr>
          <w:rFonts w:cs="Arial" w:ascii="Cambria" w:hAnsi="Cambria" w:asciiTheme="majorHAnsi" w:hAnsiTheme="majorHAnsi"/>
          <w:sz w:val="22"/>
          <w:szCs w:val="22"/>
          <w:lang w:val="sr-RS"/>
        </w:rPr>
        <w:t>4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5 дана од дана пријема фактуре.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Уколико ИЗВРШИЛАЦ закасни са испостављањем фактуре КОРИСНИКУ, рок за извршење обавезе КОРИСНИКА се продужава за онолико дана колико је ИЗВРШИЛАЦ каснио са испостављањем фактуре. 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spacing w:before="36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11.</w:t>
      </w:r>
    </w:p>
    <w:p>
      <w:pPr>
        <w:pStyle w:val="ArialAfter6pt"/>
        <w:rPr/>
      </w:pPr>
      <w:r>
        <w:rPr>
          <w:rFonts w:cs="Arial" w:ascii="Cambria" w:hAnsi="Cambria" w:asciiTheme="majorHAnsi" w:hAnsiTheme="majorHAnsi"/>
          <w:lang w:val="sr-CS"/>
        </w:rPr>
        <w:t>КОРИСНИК има право експлоатације софтверског пакета и прилагођавања истог евентуалним новонасталим околностима (промене у закону, нови захтеви и сл.) искључиво за сопствене потребе и у консултацији са ИЗВРШИОЦЕМ.</w:t>
      </w:r>
    </w:p>
    <w:p>
      <w:pPr>
        <w:pStyle w:val="ArialAfter6pt"/>
        <w:rPr/>
      </w:pPr>
      <w:r>
        <w:rPr>
          <w:rFonts w:cs="Arial" w:ascii="Cambria" w:hAnsi="Cambria" w:asciiTheme="majorHAnsi" w:hAnsiTheme="majorHAnsi"/>
          <w:lang w:val="sr-CS"/>
        </w:rPr>
        <w:t>У случају раскида уговора на иницијативу КОРИСНИКА, КОРИСНИК задржава право бесплатног располагања, односно приступа постојећим подацима на неодређено време, уз помоћ постојећих форми Софтверског пакета, без могућности измене истих.</w:t>
      </w:r>
    </w:p>
    <w:p>
      <w:pPr>
        <w:pStyle w:val="Normal"/>
        <w:jc w:val="both"/>
        <w:rPr/>
      </w:pPr>
      <w:r>
        <w:rPr>
          <w:rFonts w:cs="Arial" w:ascii="Cambria" w:hAnsi="Cambria"/>
          <w:sz w:val="22"/>
          <w:szCs w:val="22"/>
          <w:lang w:val="sr-CS"/>
        </w:rPr>
        <w:t>КОРИСНИК нема право уступања, нити извршне верзије, нити изворног кода, софтверског пакета трећим лицима.</w:t>
      </w:r>
    </w:p>
    <w:p>
      <w:pPr>
        <w:pStyle w:val="ArialAfter6pt"/>
        <w:rPr>
          <w:rFonts w:ascii="Cambria" w:hAnsi="Cambria" w:cs="Arial" w:asciiTheme="majorHAnsi" w:hAnsiTheme="majorHAnsi"/>
        </w:rPr>
      </w:pPr>
      <w:r>
        <w:rPr>
          <w:rFonts w:cs="Arial" w:ascii="Cambria" w:hAnsi="Cambria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spacing w:before="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12.</w:t>
      </w:r>
    </w:p>
    <w:p>
      <w:pPr>
        <w:pStyle w:val="BodyText3"/>
        <w:jc w:val="both"/>
        <w:rPr/>
      </w:pPr>
      <w:r>
        <w:rPr>
          <w:rFonts w:ascii="Cambria" w:hAnsi="Cambria" w:asciiTheme="majorHAnsi" w:hAnsiTheme="majorHAnsi"/>
          <w:sz w:val="22"/>
          <w:szCs w:val="22"/>
          <w:lang w:val="sr-CS"/>
        </w:rPr>
        <w:t xml:space="preserve">Уговорне стране су сагласне да ће све евентуалне измене 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система ХЕРМЕС</w:t>
      </w:r>
      <w:r>
        <w:rPr>
          <w:rFonts w:ascii="Cambria" w:hAnsi="Cambria" w:asciiTheme="majorHAnsi" w:hAnsiTheme="majorHAnsi"/>
          <w:sz w:val="22"/>
          <w:szCs w:val="22"/>
          <w:lang w:val="sr-CS"/>
        </w:rPr>
        <w:t xml:space="preserve"> које нису саставни део овог Уговора посебно уговорити.</w:t>
      </w:r>
    </w:p>
    <w:p>
      <w:pPr>
        <w:pStyle w:val="BodyText3"/>
        <w:jc w:val="both"/>
        <w:rPr>
          <w:rFonts w:ascii="Cambria" w:hAnsi="Cambria" w:asciiTheme="majorHAnsi" w:hAnsiTheme="majorHAnsi"/>
          <w:sz w:val="22"/>
          <w:szCs w:val="22"/>
          <w:lang w:val="sr-CS"/>
        </w:rPr>
      </w:pPr>
      <w:r>
        <w:rPr>
          <w:rFonts w:asciiTheme="majorHAnsi" w:hAnsiTheme="majorHAnsi" w:ascii="Cambria" w:hAnsi="Cambria"/>
          <w:sz w:val="22"/>
          <w:szCs w:val="22"/>
          <w:lang w:val="sr-CS"/>
        </w:rPr>
      </w:r>
    </w:p>
    <w:p>
      <w:pPr>
        <w:pStyle w:val="Normal"/>
        <w:spacing w:before="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13.</w:t>
      </w:r>
    </w:p>
    <w:p>
      <w:pPr>
        <w:pStyle w:val="Normal"/>
        <w:jc w:val="both"/>
        <w:rPr/>
      </w:pPr>
      <w:r>
        <w:rPr>
          <w:rFonts w:ascii="Cambria" w:hAnsi="Cambria" w:asciiTheme="majorHAnsi" w:hAnsiTheme="majorHAnsi"/>
          <w:sz w:val="22"/>
          <w:szCs w:val="22"/>
          <w:lang w:val="sr-CS"/>
        </w:rPr>
        <w:t>Овај Уговор се примењује од 01.0</w:t>
      </w:r>
      <w:r>
        <w:rPr>
          <w:rFonts w:ascii="Cambria" w:hAnsi="Cambria" w:asciiTheme="majorHAnsi" w:hAnsiTheme="majorHAnsi"/>
          <w:sz w:val="22"/>
          <w:szCs w:val="22"/>
          <w:lang w:val="sr-RS"/>
        </w:rPr>
        <w:t>6</w:t>
      </w:r>
      <w:r>
        <w:rPr>
          <w:rFonts w:ascii="Cambria" w:hAnsi="Cambria" w:asciiTheme="majorHAnsi" w:hAnsiTheme="majorHAnsi"/>
          <w:sz w:val="22"/>
          <w:szCs w:val="22"/>
          <w:lang w:val="sr-CS"/>
        </w:rPr>
        <w:t>.20</w:t>
      </w:r>
      <w:r>
        <w:rPr>
          <w:rFonts w:ascii="Cambria" w:hAnsi="Cambria" w:asciiTheme="majorHAnsi" w:hAnsiTheme="majorHAnsi"/>
          <w:sz w:val="22"/>
          <w:szCs w:val="22"/>
          <w:lang w:val="sr-RS"/>
        </w:rPr>
        <w:t>21</w:t>
      </w:r>
      <w:r>
        <w:rPr>
          <w:rFonts w:ascii="Cambria" w:hAnsi="Cambria" w:asciiTheme="majorHAnsi" w:hAnsiTheme="majorHAnsi"/>
          <w:sz w:val="22"/>
          <w:szCs w:val="22"/>
          <w:lang w:val="sr-CS"/>
        </w:rPr>
        <w:t>. године и примењиваће се наредних годину дана.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bCs/>
          <w:sz w:val="22"/>
          <w:szCs w:val="22"/>
          <w:lang w:val="sr-CS"/>
        </w:rPr>
        <w:t>Уговорне стране се обавезују да ће све информације техничке и пословне природе које су им доступне током извршења овог Уговора чувати као пословну тајну.</w:t>
      </w:r>
    </w:p>
    <w:p>
      <w:pPr>
        <w:pStyle w:val="Normal"/>
        <w:jc w:val="both"/>
        <w:rPr>
          <w:rFonts w:ascii="Cambria" w:hAnsi="Cambria" w:cs="Arial" w:asciiTheme="majorHAnsi" w:hAnsiTheme="majorHAnsi"/>
          <w:bCs/>
          <w:sz w:val="22"/>
          <w:szCs w:val="22"/>
          <w:lang w:val="sr-CS"/>
        </w:rPr>
      </w:pPr>
      <w:r>
        <w:rPr>
          <w:rFonts w:cs="Arial" w:ascii="Cambria" w:hAnsi="Cambria"/>
          <w:bCs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Сви прилози и све будуће допуне, потписани од уговорних страна, саставни су део овог Уговора.</w:t>
      </w:r>
    </w:p>
    <w:p>
      <w:pPr>
        <w:pStyle w:val="Normal"/>
        <w:spacing w:before="0" w:after="240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14.</w:t>
      </w:r>
    </w:p>
    <w:p>
      <w:pPr>
        <w:pStyle w:val="Normal"/>
        <w:spacing w:before="0" w:after="240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Све евентуалне спорове произишле из овог Уговора стране ће настојати да реше споразумно, у духу добрих пословних обичаја, првенствено настојећи задовољити потребе КОРИСНИКА. У супротном случају прихватају надлежност стварно надлежног суда у </w:t>
      </w:r>
      <w:r>
        <w:rPr>
          <w:rFonts w:cs="Arial" w:ascii="Cambria" w:hAnsi="Cambria" w:asciiTheme="majorHAnsi" w:hAnsiTheme="majorHAnsi"/>
          <w:sz w:val="22"/>
          <w:szCs w:val="22"/>
          <w:lang w:val="sr-RS"/>
        </w:rPr>
        <w:t>Београду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.</w:t>
      </w:r>
    </w:p>
    <w:p>
      <w:pPr>
        <w:pStyle w:val="Normal"/>
        <w:jc w:val="center"/>
        <w:rPr/>
      </w:pPr>
      <w:r>
        <w:rPr>
          <w:rFonts w:cs="Arial" w:ascii="Cambria" w:hAnsi="Cambria" w:asciiTheme="majorHAnsi" w:hAnsiTheme="majorHAnsi"/>
          <w:b/>
          <w:sz w:val="22"/>
          <w:szCs w:val="22"/>
          <w:lang w:val="sr-CS"/>
        </w:rPr>
        <w:t>Члан 15.</w:t>
      </w:r>
    </w:p>
    <w:p>
      <w:pPr>
        <w:pStyle w:val="BodyText3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BodyText3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Уговор је састављен у 4 (четири) истоветна примерка од којих свака страна задржава по 2 (два).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 xml:space="preserve">       </w:t>
      </w:r>
      <w:r>
        <w:rPr>
          <w:rFonts w:cs="Arial" w:ascii="Cambria" w:hAnsi="Cambria" w:asciiTheme="majorHAnsi" w:hAnsiTheme="majorHAnsi"/>
          <w:sz w:val="22"/>
          <w:szCs w:val="22"/>
          <w:lang w:val="sr-CS"/>
        </w:rPr>
        <w:t>За КОРИСНИКА:</w:t>
        <w:tab/>
        <w:tab/>
        <w:tab/>
        <w:t xml:space="preserve">      </w:t>
        <w:tab/>
        <w:tab/>
        <w:tab/>
        <w:tab/>
        <w:t xml:space="preserve">   За ИЗВРШИОЦА:</w:t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>
          <w:rFonts w:ascii="Cambria" w:hAnsi="Cambria" w:cs="Arial" w:asciiTheme="majorHAnsi" w:hAnsiTheme="majorHAnsi"/>
          <w:sz w:val="22"/>
          <w:szCs w:val="22"/>
          <w:lang w:val="sr-CS"/>
        </w:rPr>
      </w:pPr>
      <w:r>
        <w:rPr>
          <w:rFonts w:cs="Arial" w:ascii="Cambria" w:hAnsi="Cambria"/>
          <w:sz w:val="22"/>
          <w:szCs w:val="22"/>
          <w:lang w:val="sr-CS"/>
        </w:rPr>
      </w:r>
    </w:p>
    <w:p>
      <w:pPr>
        <w:pStyle w:val="Normal"/>
        <w:jc w:val="both"/>
        <w:rPr/>
      </w:pPr>
      <w:r>
        <w:rPr>
          <w:rFonts w:cs="Arial" w:ascii="Cambria" w:hAnsi="Cambria" w:asciiTheme="majorHAnsi" w:hAnsiTheme="majorHAnsi"/>
          <w:sz w:val="22"/>
          <w:szCs w:val="22"/>
          <w:lang w:val="sr-CS"/>
        </w:rPr>
        <w:t>___________________________________</w:t>
        <w:tab/>
        <w:tab/>
        <w:tab/>
        <w:tab/>
        <w:tab/>
        <w:tab/>
        <w:t xml:space="preserve"> ______________________________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bookmarkStart w:id="0" w:name="_GoBack"/>
      <w:bookmarkEnd w:id="0"/>
      <w:r>
        <w:rPr>
          <w:rFonts w:eastAsia="Arial" w:cs="Arial" w:ascii="Cambria" w:hAnsi="Cambria" w:asciiTheme="majorHAnsi" w:hAnsiTheme="majorHAnsi"/>
          <w:b/>
          <w:i/>
          <w:color w:val="auto"/>
          <w:spacing w:val="0"/>
          <w:sz w:val="22"/>
          <w:szCs w:val="22"/>
          <w:lang w:val="sr-CS"/>
        </w:rPr>
        <w:tab/>
        <w:tab/>
      </w:r>
    </w:p>
    <w:sectPr>
      <w:footnotePr>
        <w:numFmt w:val="decimal"/>
      </w:footnote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MAC C Times">
    <w:charset w:val="01"/>
    <w:family w:val="swiss"/>
    <w:pitch w:val="default"/>
  </w:font>
  <w:font w:name="Cambria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"/>
        <w:rPr/>
      </w:pPr>
      <w:r>
        <w:rPr>
          <w:rStyle w:val="FootnoteCharacters"/>
        </w:rPr>
        <w:footnoteRef/>
      </w:r>
      <w:r>
        <w:rPr/>
      </w:r>
    </w:p>
  </w:footnote>
  <w:footnote w:id="3">
    <w:p>
      <w:pPr>
        <w:pStyle w:val="Footnote"/>
        <w:tabs>
          <w:tab w:val="clear" w:pos="720"/>
          <w:tab w:val="left" w:pos="1965" w:leader="none"/>
        </w:tabs>
        <w:rPr/>
      </w:pPr>
      <w:r>
        <w:rPr>
          <w:rStyle w:val="FootnoteCharacters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5"/>
      <w:numFmt w:val="bullet"/>
      <w:lvlText w:val="-"/>
      <w:lvlJc w:val="left"/>
      <w:pPr>
        <w:ind w:left="420" w:hanging="360"/>
      </w:pPr>
      <w:rPr>
        <w:rFonts w:ascii="Arial" w:hAnsi="Arial" w:cs="Arial" w:hint="default"/>
        <w:sz w:val="22"/>
        <w:b/>
        <w:rFonts w:cs="Arial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footnotePr>
    <w:numFmt w:val="decimal"/>
    <w:footnote w:id="0"/>
    <w:footnote w:id="1"/>
  </w:footnotePr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widowControl/>
      <w:suppressAutoHyphens w:val="false"/>
      <w:jc w:val="center"/>
      <w:outlineLvl w:val="1"/>
    </w:pPr>
    <w:rPr>
      <w:rFonts w:ascii="Arial" w:hAnsi="Arial" w:eastAsia="Times New Roman" w:cs="Arial"/>
      <w:b/>
      <w:bCs/>
      <w:color w:val="000080"/>
      <w:sz w:val="36"/>
      <w:lang w:val="en-US"/>
    </w:rPr>
  </w:style>
  <w:style w:type="paragraph" w:styleId="Heading8">
    <w:name w:val="Heading 8"/>
    <w:basedOn w:val="Normal"/>
    <w:next w:val="Normal"/>
    <w:qFormat/>
    <w:pPr>
      <w:keepNext w:val="true"/>
      <w:widowControl/>
      <w:tabs>
        <w:tab w:val="left" w:pos="720" w:leader="none"/>
      </w:tabs>
      <w:suppressAutoHyphens w:val="false"/>
      <w:jc w:val="center"/>
      <w:outlineLvl w:val="7"/>
    </w:pPr>
    <w:rPr>
      <w:rFonts w:ascii="Arial" w:hAnsi="Arial" w:eastAsia="Times New Roman" w:cs="Arial"/>
      <w:b/>
      <w:bCs/>
      <w:color w:val="auto"/>
      <w:sz w:val="28"/>
      <w:szCs w:val="28"/>
      <w:lang w:val="hr-HR"/>
    </w:rPr>
  </w:style>
  <w:style w:type="paragraph" w:styleId="Heading9">
    <w:name w:val="Heading 9"/>
    <w:basedOn w:val="Normal"/>
    <w:next w:val="Normal"/>
    <w:qFormat/>
    <w:pPr>
      <w:keepNext w:val="true"/>
      <w:widowControl/>
      <w:suppressAutoHyphens w:val="false"/>
      <w:jc w:val="both"/>
      <w:outlineLvl w:val="8"/>
    </w:pPr>
    <w:rPr>
      <w:rFonts w:ascii="Arial" w:hAnsi="Arial" w:eastAsia="Times New Roman"/>
      <w:b/>
      <w:color w:val="auto"/>
      <w:sz w:val="20"/>
      <w:lang w:val="hr-HR"/>
    </w:rPr>
  </w:style>
  <w:style w:type="character" w:styleId="ListLabel1">
    <w:name w:val="ListLabel 1"/>
    <w:qFormat/>
    <w:rPr>
      <w:rFonts w:ascii="Arial" w:hAnsi="Arial" w:cs="Symbol"/>
      <w:sz w:val="24"/>
    </w:rPr>
  </w:style>
  <w:style w:type="character" w:styleId="ListLabel2">
    <w:name w:val="ListLabel 2"/>
    <w:qFormat/>
    <w:rPr>
      <w:rFonts w:ascii="Arial" w:hAnsi="Arial" w:cs="Symbol"/>
      <w:sz w:val="24"/>
    </w:rPr>
  </w:style>
  <w:style w:type="character" w:styleId="ListLabel3">
    <w:name w:val="ListLabel 3"/>
    <w:qFormat/>
    <w:rPr>
      <w:rFonts w:cs="Symbol"/>
      <w:sz w:val="24"/>
    </w:rPr>
  </w:style>
  <w:style w:type="character" w:styleId="ListLabel4">
    <w:name w:val="ListLabel 4"/>
    <w:qFormat/>
    <w:rPr>
      <w:rFonts w:cs="Symbol"/>
      <w:sz w:val="24"/>
    </w:rPr>
  </w:style>
  <w:style w:type="character" w:styleId="ListLabel5">
    <w:name w:val="ListLabel 5"/>
    <w:qFormat/>
    <w:rPr>
      <w:rFonts w:cs="Symbol"/>
      <w:sz w:val="24"/>
    </w:rPr>
  </w:style>
  <w:style w:type="character" w:styleId="ListLabel6">
    <w:name w:val="ListLabel 6"/>
    <w:qFormat/>
    <w:rPr>
      <w:rFonts w:cs="Symbol"/>
      <w:sz w:val="24"/>
    </w:rPr>
  </w:style>
  <w:style w:type="character" w:styleId="ListLabel7">
    <w:name w:val="ListLabel 7"/>
    <w:qFormat/>
    <w:rPr>
      <w:rFonts w:cs="Symbol"/>
      <w:sz w:val="24"/>
    </w:rPr>
  </w:style>
  <w:style w:type="character" w:styleId="ListLabel8">
    <w:name w:val="ListLabel 8"/>
    <w:qFormat/>
    <w:rPr>
      <w:rFonts w:cs="Symbol"/>
      <w:sz w:val="24"/>
    </w:rPr>
  </w:style>
  <w:style w:type="character" w:styleId="ListLabel9">
    <w:name w:val="ListLabel 9"/>
    <w:qFormat/>
    <w:rPr>
      <w:rFonts w:cs="Symbol"/>
      <w:sz w:val="24"/>
    </w:rPr>
  </w:style>
  <w:style w:type="character" w:styleId="ListLabel10">
    <w:name w:val="ListLabel 10"/>
    <w:qFormat/>
    <w:rPr>
      <w:rFonts w:cs="Symbol"/>
      <w:sz w:val="24"/>
    </w:rPr>
  </w:style>
  <w:style w:type="character" w:styleId="ListLabel11">
    <w:name w:val="ListLabel 11"/>
    <w:qFormat/>
    <w:rPr>
      <w:rFonts w:cs="Symbol"/>
      <w:sz w:val="24"/>
    </w:rPr>
  </w:style>
  <w:style w:type="character" w:styleId="ListLabel12">
    <w:name w:val="ListLabel 12"/>
    <w:qFormat/>
    <w:rPr>
      <w:rFonts w:cs="Symbol"/>
      <w:sz w:val="24"/>
    </w:rPr>
  </w:style>
  <w:style w:type="character" w:styleId="ListLabel13">
    <w:name w:val="ListLabel 13"/>
    <w:qFormat/>
    <w:rPr>
      <w:rFonts w:cs="Symbol"/>
      <w:sz w:val="24"/>
    </w:rPr>
  </w:style>
  <w:style w:type="character" w:styleId="ListLabel14">
    <w:name w:val="ListLabel 14"/>
    <w:qFormat/>
    <w:rPr>
      <w:rFonts w:cs="Symbol"/>
      <w:sz w:val="24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DefaultParagraphFont">
    <w:name w:val="Default Paragraph Font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stLabel27">
    <w:name w:val="ListLabel 27"/>
    <w:qFormat/>
    <w:rPr>
      <w:rFonts w:eastAsia="Times New Roman" w:cs="Arial"/>
      <w:b/>
      <w:sz w:val="22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FootnoteAnchor">
    <w:name w:val="Footnote Anchor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Annotationtext">
    <w:name w:val="annotation text"/>
    <w:basedOn w:val="Normal"/>
    <w:qFormat/>
    <w:pPr>
      <w:widowControl/>
      <w:suppressAutoHyphens w:val="false"/>
    </w:pPr>
    <w:rPr>
      <w:rFonts w:ascii="Arial" w:hAnsi="Arial" w:eastAsia="Times New Roman"/>
      <w:color w:val="auto"/>
      <w:sz w:val="20"/>
      <w:lang w:val="hr-HR"/>
    </w:rPr>
  </w:style>
  <w:style w:type="paragraph" w:styleId="Tekst">
    <w:name w:val="Tekst"/>
    <w:qFormat/>
    <w:pPr>
      <w:widowControl/>
      <w:bidi w:val="0"/>
      <w:spacing w:before="0" w:after="57"/>
      <w:jc w:val="both"/>
    </w:pPr>
    <w:rPr>
      <w:rFonts w:ascii="MAC C Times" w:hAnsi="MAC C Times" w:eastAsia="NSimSun" w:cs="Mangal"/>
      <w:color w:val="000000"/>
      <w:kern w:val="2"/>
      <w:sz w:val="24"/>
      <w:szCs w:val="24"/>
      <w:lang w:val="en-US" w:eastAsia="zh-CN" w:bidi="hi-IN"/>
    </w:rPr>
  </w:style>
  <w:style w:type="paragraph" w:styleId="Footnot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ArialAfter6pt">
    <w:name w:val="Arial After:  6 pt"/>
    <w:basedOn w:val="Normal"/>
    <w:qFormat/>
    <w:pPr>
      <w:widowControl/>
      <w:spacing w:before="0" w:after="120"/>
      <w:jc w:val="both"/>
    </w:pPr>
    <w:rPr>
      <w:rFonts w:ascii="Arial" w:hAnsi="Arial" w:eastAsia="Times New Roman"/>
      <w:color w:val="auto"/>
      <w:sz w:val="22"/>
      <w:lang w:eastAsia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307</TotalTime>
  <Application>LibreOffice/6.2.8.2$Windows_X86_64 LibreOffice_project/f82ddfca21ebc1e222a662a32b25c0c9d20169ee</Application>
  <Pages>6</Pages>
  <Words>1355</Words>
  <Characters>8000</Characters>
  <CharactersWithSpaces>9268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lastPrinted>2021-03-11T14:11:28Z</cp:lastPrinted>
  <dcterms:modified xsi:type="dcterms:W3CDTF">2021-05-10T12:26:30Z</dcterms:modified>
  <cp:revision>15</cp:revision>
  <dc:subject/>
  <dc:title/>
</cp:coreProperties>
</file>